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C4ED" w14:textId="49A05085" w:rsidR="004C0B42" w:rsidRPr="000B33C9" w:rsidRDefault="002417B5" w:rsidP="00EE52B4">
      <w:pPr>
        <w:spacing w:after="0" w:line="276" w:lineRule="auto"/>
        <w:jc w:val="center"/>
        <w:rPr>
          <w:rFonts w:ascii="Century Gothic" w:hAnsi="Century Gothic" w:cs="Clother Black"/>
          <w:b/>
          <w:bCs/>
          <w:kern w:val="0"/>
          <w:sz w:val="32"/>
          <w:szCs w:val="32"/>
          <w14:ligatures w14:val="none"/>
        </w:rPr>
      </w:pPr>
      <w:r>
        <w:rPr>
          <w:rFonts w:ascii="Century Gothic" w:hAnsi="Century Gothic"/>
          <w:b/>
          <w:sz w:val="32"/>
        </w:rPr>
        <w:t>La nueva estrategia de producción de Apollo Tyres mejorará la oferta y suministro de neumáticos TBR en Europa</w:t>
      </w:r>
    </w:p>
    <w:p w14:paraId="28D78B12" w14:textId="77777777" w:rsidR="004C0B42" w:rsidRPr="00B26E23" w:rsidRDefault="004C0B42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C0FEDB9" w14:textId="2CA31354" w:rsidR="00543D15" w:rsidRDefault="005A65A1" w:rsidP="00EE52B4">
      <w:pPr>
        <w:pStyle w:val="Prrafodelista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 xml:space="preserve">La cobertura del segmento europeo de neumáticos </w:t>
      </w:r>
      <w:r w:rsidR="0083352F">
        <w:rPr>
          <w:rFonts w:ascii="Century Gothic" w:hAnsi="Century Gothic"/>
          <w:b/>
          <w:i/>
          <w:sz w:val="20"/>
        </w:rPr>
        <w:t>radiales para camión</w:t>
      </w:r>
      <w:r w:rsidR="009B1F05">
        <w:rPr>
          <w:rFonts w:ascii="Century Gothic" w:hAnsi="Century Gothic"/>
          <w:b/>
          <w:i/>
          <w:sz w:val="20"/>
        </w:rPr>
        <w:t xml:space="preserve"> </w:t>
      </w:r>
      <w:r w:rsidR="0083352F">
        <w:rPr>
          <w:rFonts w:ascii="Century Gothic" w:hAnsi="Century Gothic"/>
          <w:b/>
          <w:i/>
          <w:sz w:val="20"/>
        </w:rPr>
        <w:t>y autob</w:t>
      </w:r>
      <w:r w:rsidR="009B1F05">
        <w:rPr>
          <w:rFonts w:ascii="Century Gothic" w:hAnsi="Century Gothic"/>
          <w:b/>
          <w:i/>
          <w:sz w:val="20"/>
        </w:rPr>
        <w:t>ús</w:t>
      </w:r>
      <w:r w:rsidR="00127410">
        <w:rPr>
          <w:rFonts w:ascii="Century Gothic" w:hAnsi="Century Gothic"/>
          <w:b/>
          <w:i/>
          <w:sz w:val="20"/>
        </w:rPr>
        <w:t xml:space="preserve"> (TBR)</w:t>
      </w:r>
      <w:r w:rsidR="009B1F05">
        <w:rPr>
          <w:rFonts w:ascii="Century Gothic" w:hAnsi="Century Gothic"/>
          <w:b/>
          <w:i/>
          <w:sz w:val="20"/>
        </w:rPr>
        <w:t xml:space="preserve"> crecerá </w:t>
      </w:r>
      <w:r>
        <w:rPr>
          <w:rFonts w:ascii="Century Gothic" w:hAnsi="Century Gothic"/>
          <w:b/>
          <w:i/>
          <w:sz w:val="20"/>
        </w:rPr>
        <w:t>hasta un 80 % a finales de 2026</w:t>
      </w:r>
    </w:p>
    <w:p w14:paraId="467141D8" w14:textId="2BC84992" w:rsidR="002B1181" w:rsidRDefault="00A123F2" w:rsidP="143C66C9">
      <w:pPr>
        <w:pStyle w:val="Prrafodelista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>Mayor inversión en desarrollo de productos y capacidades de asistencia técnica</w:t>
      </w:r>
    </w:p>
    <w:p w14:paraId="5E3C020C" w14:textId="072939B0" w:rsidR="00A123F2" w:rsidRPr="004C0B42" w:rsidRDefault="003F26B5" w:rsidP="00EE52B4">
      <w:pPr>
        <w:pStyle w:val="Prrafodelista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>La cartera ampliada de productos TBR se lanzará a principios del</w:t>
      </w:r>
      <w:r w:rsidR="00700FE3">
        <w:rPr>
          <w:rFonts w:ascii="Century Gothic" w:hAnsi="Century Gothic"/>
          <w:b/>
          <w:i/>
          <w:sz w:val="20"/>
        </w:rPr>
        <w:t xml:space="preserve"> próximo</w:t>
      </w:r>
      <w:r>
        <w:rPr>
          <w:rFonts w:ascii="Century Gothic" w:hAnsi="Century Gothic"/>
          <w:b/>
          <w:i/>
          <w:sz w:val="20"/>
        </w:rPr>
        <w:t xml:space="preserve"> año </w:t>
      </w:r>
    </w:p>
    <w:p w14:paraId="0A4B0339" w14:textId="77777777" w:rsidR="001855CD" w:rsidRPr="0005437C" w:rsidRDefault="001855CD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B887A68" w14:textId="15F72FD8" w:rsidR="003B32C7" w:rsidRPr="00C74CF2" w:rsidRDefault="003B32C7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AC03460" w14:textId="5995A61B" w:rsidR="00A5600A" w:rsidRDefault="0005437C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05437C">
        <w:rPr>
          <w:rFonts w:ascii="Century Gothic" w:hAnsi="Century Gothic"/>
          <w:b/>
          <w:i/>
          <w:sz w:val="20"/>
        </w:rPr>
        <w:t>19 de diciembre</w:t>
      </w:r>
      <w:r w:rsidR="00EC6D6E" w:rsidRPr="0005437C">
        <w:rPr>
          <w:rFonts w:ascii="Century Gothic" w:hAnsi="Century Gothic"/>
          <w:b/>
          <w:i/>
          <w:sz w:val="20"/>
        </w:rPr>
        <w:t xml:space="preserve"> de 2025</w:t>
      </w:r>
      <w:r w:rsidR="00EC6D6E" w:rsidRPr="0005437C">
        <w:rPr>
          <w:rFonts w:ascii="Century Gothic" w:hAnsi="Century Gothic"/>
          <w:b/>
          <w:sz w:val="20"/>
        </w:rPr>
        <w:t xml:space="preserve"> </w:t>
      </w:r>
      <w:r w:rsidR="00EC6D6E" w:rsidRPr="0005437C">
        <w:rPr>
          <w:rFonts w:ascii="Century Gothic" w:hAnsi="Century Gothic"/>
          <w:sz w:val="20"/>
        </w:rPr>
        <w:t xml:space="preserve">– Apollo Tyres Ltd. está </w:t>
      </w:r>
      <w:r w:rsidR="000B4372" w:rsidRPr="0005437C">
        <w:rPr>
          <w:rFonts w:ascii="Century Gothic" w:hAnsi="Century Gothic"/>
          <w:sz w:val="20"/>
        </w:rPr>
        <w:t xml:space="preserve">llevando a cabo </w:t>
      </w:r>
      <w:r w:rsidR="00EC6D6E" w:rsidRPr="0005437C">
        <w:rPr>
          <w:rFonts w:ascii="Century Gothic" w:hAnsi="Century Gothic"/>
          <w:sz w:val="20"/>
        </w:rPr>
        <w:t xml:space="preserve">una nueva estrategia de producción de neumáticos </w:t>
      </w:r>
      <w:r w:rsidR="00EC6D6E">
        <w:rPr>
          <w:rFonts w:ascii="Century Gothic" w:hAnsi="Century Gothic"/>
          <w:sz w:val="20"/>
        </w:rPr>
        <w:t>radiales para camiones y autobuses (TBR</w:t>
      </w:r>
      <w:r w:rsidR="000B4372">
        <w:rPr>
          <w:rFonts w:ascii="Century Gothic" w:hAnsi="Century Gothic"/>
          <w:sz w:val="20"/>
        </w:rPr>
        <w:t>,</w:t>
      </w:r>
      <w:r w:rsidR="00CC2AA3">
        <w:rPr>
          <w:rFonts w:ascii="Century Gothic" w:hAnsi="Century Gothic"/>
          <w:sz w:val="20"/>
        </w:rPr>
        <w:t xml:space="preserve"> </w:t>
      </w:r>
      <w:r w:rsidR="002B1145">
        <w:rPr>
          <w:rFonts w:ascii="Century Gothic" w:hAnsi="Century Gothic"/>
          <w:sz w:val="20"/>
        </w:rPr>
        <w:t>iniciales en inglés de Truck, Bus, Radial</w:t>
      </w:r>
      <w:r w:rsidR="00EC6D6E">
        <w:rPr>
          <w:rFonts w:ascii="Century Gothic" w:hAnsi="Century Gothic"/>
          <w:sz w:val="20"/>
        </w:rPr>
        <w:t xml:space="preserve">) que aumentará la variedad y el volumen de productos disponibles para flotas y operadores de toda Europa. </w:t>
      </w:r>
      <w:r w:rsidR="001651FB">
        <w:rPr>
          <w:rFonts w:ascii="Century Gothic" w:hAnsi="Century Gothic"/>
          <w:sz w:val="20"/>
        </w:rPr>
        <w:t xml:space="preserve">Cuando acabe de implementarse la estrategia, </w:t>
      </w:r>
      <w:r w:rsidR="003819DF">
        <w:rPr>
          <w:rFonts w:ascii="Century Gothic" w:hAnsi="Century Gothic"/>
          <w:sz w:val="20"/>
        </w:rPr>
        <w:t xml:space="preserve">se </w:t>
      </w:r>
      <w:r w:rsidR="00EC6D6E">
        <w:rPr>
          <w:rFonts w:ascii="Century Gothic" w:hAnsi="Century Gothic"/>
          <w:sz w:val="20"/>
        </w:rPr>
        <w:t>ampliar</w:t>
      </w:r>
      <w:r w:rsidR="003819DF">
        <w:rPr>
          <w:rFonts w:ascii="Century Gothic" w:hAnsi="Century Gothic"/>
          <w:sz w:val="20"/>
        </w:rPr>
        <w:t>á</w:t>
      </w:r>
      <w:r w:rsidR="00EC6D6E">
        <w:rPr>
          <w:rFonts w:ascii="Century Gothic" w:hAnsi="Century Gothic"/>
          <w:sz w:val="20"/>
        </w:rPr>
        <w:t xml:space="preserve"> significativamente </w:t>
      </w:r>
      <w:r w:rsidR="003819DF">
        <w:rPr>
          <w:rFonts w:ascii="Century Gothic" w:hAnsi="Century Gothic"/>
          <w:sz w:val="20"/>
        </w:rPr>
        <w:t xml:space="preserve">la </w:t>
      </w:r>
      <w:r w:rsidR="00EC6D6E">
        <w:rPr>
          <w:rFonts w:ascii="Century Gothic" w:hAnsi="Century Gothic"/>
          <w:sz w:val="20"/>
        </w:rPr>
        <w:t xml:space="preserve">cartera de neumáticos TBR y, a finales de 2026, abarcará hasta el 80 % de todos los formatos y </w:t>
      </w:r>
      <w:r w:rsidR="003819DF">
        <w:rPr>
          <w:rFonts w:ascii="Century Gothic" w:hAnsi="Century Gothic"/>
          <w:sz w:val="20"/>
        </w:rPr>
        <w:t xml:space="preserve">medidas </w:t>
      </w:r>
      <w:r w:rsidR="00EC6D6E">
        <w:rPr>
          <w:rFonts w:ascii="Century Gothic" w:hAnsi="Century Gothic"/>
          <w:sz w:val="20"/>
        </w:rPr>
        <w:t>requeridos por el diverso mercado europeo de camiones y autobuses.</w:t>
      </w:r>
    </w:p>
    <w:p w14:paraId="13EC9C35" w14:textId="77777777" w:rsidR="00A5600A" w:rsidRDefault="00A5600A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1D30FE1C" w14:textId="44D33915" w:rsidR="00956053" w:rsidRDefault="00DB14A0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Para mejorar el suministro de los productos en Europa, se trasladará toda la producción de neumáticos TBR de Apollo Tyres </w:t>
      </w:r>
      <w:r w:rsidR="003819DF">
        <w:rPr>
          <w:rFonts w:ascii="Century Gothic" w:hAnsi="Century Gothic"/>
          <w:sz w:val="20"/>
        </w:rPr>
        <w:t xml:space="preserve">desde </w:t>
      </w:r>
      <w:r>
        <w:rPr>
          <w:rFonts w:ascii="Century Gothic" w:hAnsi="Century Gothic"/>
          <w:sz w:val="20"/>
        </w:rPr>
        <w:t>la planta de Gyöngyöshalász (Hungría) a la mega</w:t>
      </w:r>
      <w:r w:rsidR="00EF42CA">
        <w:rPr>
          <w:rFonts w:ascii="Century Gothic" w:hAnsi="Century Gothic"/>
          <w:sz w:val="20"/>
        </w:rPr>
        <w:t>-</w:t>
      </w:r>
      <w:r>
        <w:rPr>
          <w:rFonts w:ascii="Century Gothic" w:hAnsi="Century Gothic"/>
          <w:sz w:val="20"/>
        </w:rPr>
        <w:t xml:space="preserve">fábrica de última generación de la India. Con una capacidad de producción anual de 5,5 millones de unidades, ya cumple los exigentes estándares de calidad que esperan los clientes europeos. </w:t>
      </w:r>
    </w:p>
    <w:p w14:paraId="4F0D4452" w14:textId="77777777" w:rsidR="00956053" w:rsidRDefault="00956053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68F5B02" w14:textId="1019A071" w:rsidR="004877BF" w:rsidRDefault="004877BF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Estos cambios permitirán a Apollo Tyres acelerar la expansión de su cartera de neumáticos TBR en 2026 e introducir una nueva gama de mega</w:t>
      </w:r>
      <w:r w:rsidR="00EF42CA">
        <w:rPr>
          <w:rFonts w:ascii="Century Gothic" w:hAnsi="Century Gothic"/>
          <w:sz w:val="20"/>
        </w:rPr>
        <w:t>-</w:t>
      </w:r>
      <w:r>
        <w:rPr>
          <w:rFonts w:ascii="Century Gothic" w:hAnsi="Century Gothic"/>
          <w:sz w:val="20"/>
        </w:rPr>
        <w:t>neumáticos motrices y para remolques, además de actualizar gamas populares como Apollo EnduRace y Apollo EnduTrax.</w:t>
      </w:r>
    </w:p>
    <w:p w14:paraId="34A32FCC" w14:textId="77777777" w:rsidR="004877BF" w:rsidRDefault="004877BF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41D0A8E" w14:textId="1E7981EE" w:rsidR="00E05F59" w:rsidRPr="00431DC6" w:rsidRDefault="00F15BE8" w:rsidP="0005437C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Diseñado en Europa para clientes europeos, ahora con una asistencia mejorada </w:t>
      </w:r>
    </w:p>
    <w:p w14:paraId="4B8490A2" w14:textId="6BFCBAB3" w:rsidR="00422560" w:rsidRDefault="00422560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Para complementar su nueva estrategia de producción, Apollo Tyres ha reforzado sus capacidades de asistencia al cliente en Europa con la creación de dos nuevos equipos de servicio técnico. </w:t>
      </w:r>
      <w:r w:rsidR="00C10EAA">
        <w:rPr>
          <w:rFonts w:ascii="Century Gothic" w:hAnsi="Century Gothic"/>
          <w:sz w:val="20"/>
        </w:rPr>
        <w:t>Por un lado, e</w:t>
      </w:r>
      <w:r>
        <w:rPr>
          <w:rFonts w:ascii="Century Gothic" w:hAnsi="Century Gothic"/>
          <w:sz w:val="20"/>
        </w:rPr>
        <w:t>l departamento de servicio técnico de productos proporcionará una asistencia técnica inicial a los clientes</w:t>
      </w:r>
      <w:r w:rsidR="00C10EAA">
        <w:rPr>
          <w:rFonts w:ascii="Century Gothic" w:hAnsi="Century Gothic"/>
          <w:sz w:val="20"/>
        </w:rPr>
        <w:t>. Por otro,</w:t>
      </w:r>
      <w:r>
        <w:rPr>
          <w:rFonts w:ascii="Century Gothic" w:hAnsi="Century Gothic"/>
          <w:sz w:val="20"/>
        </w:rPr>
        <w:t xml:space="preserve"> el nuevo equipo de servicio técnico de campo constituirá la división técnica de la gama TBR de Apollo Tyres en la región y ofrecerá asistencia in situ a los clientes cuando sea necesario</w:t>
      </w:r>
      <w:r w:rsidR="00C10EAA">
        <w:rPr>
          <w:rFonts w:ascii="Century Gothic" w:hAnsi="Century Gothic"/>
          <w:sz w:val="20"/>
        </w:rPr>
        <w:t>. A</w:t>
      </w:r>
      <w:r>
        <w:rPr>
          <w:rFonts w:ascii="Century Gothic" w:hAnsi="Century Gothic"/>
          <w:sz w:val="20"/>
        </w:rPr>
        <w:t>demás</w:t>
      </w:r>
      <w:r w:rsidR="00C10EAA">
        <w:rPr>
          <w:rFonts w:ascii="Century Gothic" w:hAnsi="Century Gothic"/>
          <w:sz w:val="20"/>
        </w:rPr>
        <w:t>, también</w:t>
      </w:r>
      <w:r>
        <w:rPr>
          <w:rFonts w:ascii="Century Gothic" w:hAnsi="Century Gothic"/>
          <w:sz w:val="20"/>
        </w:rPr>
        <w:t xml:space="preserve"> valoriza</w:t>
      </w:r>
      <w:r w:rsidR="00C10EAA">
        <w:rPr>
          <w:rFonts w:ascii="Century Gothic" w:hAnsi="Century Gothic"/>
          <w:sz w:val="20"/>
        </w:rPr>
        <w:t>rá</w:t>
      </w:r>
      <w:r>
        <w:rPr>
          <w:rFonts w:ascii="Century Gothic" w:hAnsi="Century Gothic"/>
          <w:sz w:val="20"/>
        </w:rPr>
        <w:t xml:space="preserve"> los productos y colaborar</w:t>
      </w:r>
      <w:r w:rsidR="00C10EAA">
        <w:rPr>
          <w:rFonts w:ascii="Century Gothic" w:hAnsi="Century Gothic"/>
          <w:sz w:val="20"/>
        </w:rPr>
        <w:t>á</w:t>
      </w:r>
      <w:r>
        <w:rPr>
          <w:rFonts w:ascii="Century Gothic" w:hAnsi="Century Gothic"/>
          <w:sz w:val="20"/>
        </w:rPr>
        <w:t xml:space="preserve"> estrechamente con los gestores de cuentas y socios minoristas de la marca. </w:t>
      </w:r>
    </w:p>
    <w:p w14:paraId="3119E8CC" w14:textId="77777777" w:rsidR="00190062" w:rsidRDefault="00190062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027F215" w14:textId="59935EA2" w:rsidR="00190062" w:rsidRDefault="00822CB3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En consonancia con su estrategia de diseñar los neumáticos TBR en Europa para los consumidores del continente, Apollo Tyres también realizará nuevas inversiones en su centro europeo de investigación y desarrollo de Enschede (Países Bajos)</w:t>
      </w:r>
      <w:r w:rsidR="00C62735">
        <w:rPr>
          <w:rFonts w:ascii="Century Gothic" w:hAnsi="Century Gothic"/>
          <w:sz w:val="20"/>
        </w:rPr>
        <w:t>. El objetivo</w:t>
      </w:r>
      <w:r>
        <w:rPr>
          <w:rFonts w:ascii="Century Gothic" w:hAnsi="Century Gothic"/>
          <w:sz w:val="20"/>
        </w:rPr>
        <w:t xml:space="preserve"> </w:t>
      </w:r>
      <w:r w:rsidR="00C62735">
        <w:rPr>
          <w:rFonts w:ascii="Century Gothic" w:hAnsi="Century Gothic"/>
          <w:sz w:val="20"/>
        </w:rPr>
        <w:t xml:space="preserve">es </w:t>
      </w:r>
      <w:r>
        <w:rPr>
          <w:rFonts w:ascii="Century Gothic" w:hAnsi="Century Gothic"/>
          <w:sz w:val="20"/>
        </w:rPr>
        <w:t xml:space="preserve">intensificar la evaluación comparativa de los productos TBR, el desarrollo conceptual y la validación de prototipos. </w:t>
      </w:r>
    </w:p>
    <w:p w14:paraId="6CD67735" w14:textId="2C9DF136" w:rsidR="6D6CC4AA" w:rsidRDefault="6D6CC4AA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137492A4" w14:textId="272D3508" w:rsidR="121F4678" w:rsidRDefault="121F4678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 xml:space="preserve">En el marco de estos avances, la estrategia detrás de los neumáticos TBR experimentará una evolución, que seguirá haciendo hincapié en reforzar la distribución minorista en toda la región. </w:t>
      </w:r>
    </w:p>
    <w:p w14:paraId="167F8F02" w14:textId="51B9B68B" w:rsidR="6D6CC4AA" w:rsidRDefault="6D6CC4AA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59BE40F" w14:textId="5BD192C6" w:rsidR="007C7F1B" w:rsidRDefault="0881B6C7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En palabras de Yves Pouliquen, vicepresidente comercial de Apollo Tyres Ltd. en EMEA: "</w:t>
      </w:r>
      <w:r w:rsidRPr="0005437C">
        <w:rPr>
          <w:rFonts w:ascii="Century Gothic" w:hAnsi="Century Gothic"/>
          <w:i/>
          <w:iCs/>
          <w:sz w:val="20"/>
        </w:rPr>
        <w:t>El cambio en nuestra estrategia de producción supone un gran avance de la capacidad de Apollo Tyres para abastecer a los clientes de toda Europa. Al combinar la fabricación avanzada en la India con unas capacidades específicas de I+D, ingeniería y asistencia en Europa, garantizamos la innovación continua de los neumáticos TBR, una mayor disponibilidad de los productos y los estándares de excelencia en el servicio que esperan nuestros clientes</w:t>
      </w:r>
      <w:r>
        <w:rPr>
          <w:rFonts w:ascii="Century Gothic" w:hAnsi="Century Gothic"/>
          <w:sz w:val="20"/>
        </w:rPr>
        <w:t>".</w:t>
      </w:r>
    </w:p>
    <w:p w14:paraId="136B245F" w14:textId="77777777" w:rsidR="00E41ADB" w:rsidRDefault="00E41ADB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5AA1EF97" w14:textId="1846F89A" w:rsidR="00846B85" w:rsidRPr="00A05914" w:rsidRDefault="00925EBA" w:rsidP="0005437C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La gama TBR de Apollo Tyres </w:t>
      </w:r>
      <w:r w:rsidR="00C62735">
        <w:rPr>
          <w:rFonts w:ascii="Century Gothic" w:hAnsi="Century Gothic"/>
          <w:sz w:val="20"/>
        </w:rPr>
        <w:t xml:space="preserve">se </w:t>
      </w:r>
      <w:r>
        <w:rPr>
          <w:rFonts w:ascii="Century Gothic" w:hAnsi="Century Gothic"/>
          <w:sz w:val="20"/>
        </w:rPr>
        <w:t>reconoc</w:t>
      </w:r>
      <w:r w:rsidR="00C62735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 por ofrecer un rendimiento, durabilidad y relación calidad-precio excepcionales. Al centrarse en ofrecer una larga vida útil de la banda de rodadura, durabilidad, capacidad de recauchutado y un consumo eficiente del combustible, se ha convertido en la elección de confianza de flotas y fabricantes de equipos originales.</w:t>
      </w:r>
    </w:p>
    <w:p w14:paraId="7E5FFF1B" w14:textId="77777777" w:rsidR="009C71DA" w:rsidRDefault="009C71DA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3BECEB4" w14:textId="77777777" w:rsidR="000A7DE8" w:rsidRDefault="000A7DE8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1FA036A5" w14:textId="77777777" w:rsidR="000A7DE8" w:rsidRPr="00250A03" w:rsidRDefault="000A7DE8" w:rsidP="000A7DE8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[FIN]</w:t>
      </w:r>
    </w:p>
    <w:p w14:paraId="605D135C" w14:textId="77777777" w:rsidR="000A7DE8" w:rsidRPr="00A21BC5" w:rsidRDefault="000A7DE8" w:rsidP="000A7DE8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p w14:paraId="6DBC8BD5" w14:textId="77777777" w:rsidR="000A7DE8" w:rsidRPr="00A21BC5" w:rsidRDefault="000A7DE8" w:rsidP="000A7DE8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p w14:paraId="754D5B4B" w14:textId="77777777" w:rsidR="000A7DE8" w:rsidRPr="00312D2E" w:rsidRDefault="000A7DE8" w:rsidP="000A7DE8">
      <w:pPr>
        <w:jc w:val="both"/>
        <w:rPr>
          <w:rFonts w:ascii="Century Gothic" w:hAnsi="Century Gothic"/>
          <w:b/>
          <w:bCs/>
          <w:color w:val="5C2D90"/>
          <w:sz w:val="18"/>
        </w:rPr>
      </w:pPr>
      <w:r w:rsidRPr="00312D2E">
        <w:rPr>
          <w:rFonts w:ascii="Century Gothic" w:hAnsi="Century Gothic"/>
          <w:b/>
          <w:color w:val="5C2D90"/>
          <w:sz w:val="18"/>
        </w:rPr>
        <w:t>Para más información:</w:t>
      </w:r>
    </w:p>
    <w:p w14:paraId="33B44242" w14:textId="21C8B393" w:rsidR="000A7DE8" w:rsidRPr="0005437C" w:rsidRDefault="000A7DE8" w:rsidP="0005437C">
      <w:pPr>
        <w:spacing w:after="0" w:line="240" w:lineRule="auto"/>
        <w:jc w:val="both"/>
        <w:rPr>
          <w:rFonts w:ascii="Century Gothic" w:hAnsi="Century Gothic"/>
          <w:bCs/>
          <w:kern w:val="0"/>
          <w:sz w:val="18"/>
          <w14:ligatures w14:val="none"/>
        </w:rPr>
      </w:pPr>
      <w:r w:rsidRPr="0005437C">
        <w:rPr>
          <w:rFonts w:ascii="Century Gothic" w:hAnsi="Century Gothic"/>
          <w:bCs/>
          <w:kern w:val="0"/>
          <w:sz w:val="18"/>
          <w14:ligatures w14:val="none"/>
        </w:rPr>
        <w:t>Adolfo Randulfe</w:t>
      </w:r>
    </w:p>
    <w:p w14:paraId="255EBB1D" w14:textId="77777777" w:rsidR="000A7DE8" w:rsidRPr="0005437C" w:rsidRDefault="000A7DE8" w:rsidP="0005437C">
      <w:pPr>
        <w:spacing w:after="0" w:line="240" w:lineRule="auto"/>
        <w:jc w:val="both"/>
        <w:rPr>
          <w:rFonts w:ascii="Century Gothic" w:hAnsi="Century Gothic"/>
          <w:bCs/>
          <w:kern w:val="0"/>
          <w:sz w:val="18"/>
          <w14:ligatures w14:val="none"/>
        </w:rPr>
      </w:pPr>
      <w:r w:rsidRPr="0005437C">
        <w:rPr>
          <w:rFonts w:ascii="Century Gothic" w:hAnsi="Century Gothic"/>
          <w:bCs/>
          <w:kern w:val="0"/>
          <w:sz w:val="18"/>
          <w14:ligatures w14:val="none"/>
        </w:rPr>
        <w:t>Know Comunicación</w:t>
      </w:r>
    </w:p>
    <w:p w14:paraId="3E3D18E8" w14:textId="77777777" w:rsidR="000A7DE8" w:rsidRPr="0005437C" w:rsidRDefault="000A7DE8" w:rsidP="0005437C">
      <w:pPr>
        <w:spacing w:after="0" w:line="240" w:lineRule="auto"/>
        <w:jc w:val="both"/>
        <w:rPr>
          <w:rFonts w:ascii="Century Gothic" w:hAnsi="Century Gothic"/>
          <w:bCs/>
          <w:kern w:val="0"/>
          <w:sz w:val="18"/>
          <w14:ligatures w14:val="none"/>
        </w:rPr>
      </w:pPr>
      <w:r w:rsidRPr="0005437C">
        <w:rPr>
          <w:rFonts w:ascii="Century Gothic" w:hAnsi="Century Gothic"/>
          <w:bCs/>
          <w:kern w:val="0"/>
          <w:sz w:val="18"/>
          <w14:ligatures w14:val="none"/>
        </w:rPr>
        <w:t>Móvil: +34 629 911 026</w:t>
      </w:r>
    </w:p>
    <w:p w14:paraId="48F16029" w14:textId="77777777" w:rsidR="000A7DE8" w:rsidRPr="0005437C" w:rsidRDefault="000A7DE8" w:rsidP="0005437C">
      <w:pPr>
        <w:spacing w:after="0" w:line="240" w:lineRule="auto"/>
        <w:jc w:val="both"/>
        <w:rPr>
          <w:rFonts w:ascii="Century Gothic" w:hAnsi="Century Gothic"/>
          <w:bCs/>
          <w:kern w:val="0"/>
          <w:sz w:val="18"/>
          <w14:ligatures w14:val="none"/>
        </w:rPr>
      </w:pPr>
      <w:r w:rsidRPr="0005437C">
        <w:rPr>
          <w:rFonts w:ascii="Century Gothic" w:hAnsi="Century Gothic"/>
          <w:bCs/>
          <w:kern w:val="0"/>
          <w:sz w:val="18"/>
          <w14:ligatures w14:val="none"/>
        </w:rPr>
        <w:t>info@knowcomunicacion.com</w:t>
      </w:r>
    </w:p>
    <w:p w14:paraId="6F02E39A" w14:textId="77777777" w:rsidR="000A7DE8" w:rsidRPr="00312D2E" w:rsidRDefault="000A7DE8" w:rsidP="000A7DE8">
      <w:pPr>
        <w:jc w:val="both"/>
        <w:rPr>
          <w:rFonts w:ascii="Century Gothic" w:hAnsi="Century Gothic"/>
          <w:bCs/>
          <w:sz w:val="18"/>
        </w:rPr>
      </w:pPr>
      <w:r w:rsidRPr="00312D2E">
        <w:rPr>
          <w:rFonts w:ascii="Century Gothic" w:hAnsi="Century Gothic"/>
          <w:bCs/>
          <w:sz w:val="18"/>
        </w:rPr>
        <w:t xml:space="preserve">Web de prensa: </w:t>
      </w:r>
      <w:hyperlink r:id="rId11" w:history="1">
        <w:r w:rsidRPr="0005437C">
          <w:rPr>
            <w:rStyle w:val="Hipervnculo"/>
            <w:rFonts w:ascii="Century Gothic" w:hAnsi="Century Gothic"/>
            <w:bCs/>
            <w:color w:val="0000FF"/>
            <w:sz w:val="18"/>
          </w:rPr>
          <w:t>www.apollovredestein.press</w:t>
        </w:r>
      </w:hyperlink>
      <w:r w:rsidRPr="00312D2E">
        <w:t xml:space="preserve">  </w:t>
      </w:r>
    </w:p>
    <w:p w14:paraId="21D4B221" w14:textId="77777777" w:rsidR="00D91540" w:rsidRDefault="00D91540" w:rsidP="000A7DE8">
      <w:pPr>
        <w:pStyle w:val="BasicParagraph"/>
        <w:tabs>
          <w:tab w:val="left" w:pos="284"/>
        </w:tabs>
        <w:suppressAutoHyphens/>
        <w:spacing w:line="240" w:lineRule="auto"/>
        <w:jc w:val="both"/>
        <w:rPr>
          <w:rFonts w:ascii="Century Gothic" w:hAnsi="Century Gothic"/>
          <w:b/>
          <w:color w:val="5C2D90"/>
          <w:sz w:val="16"/>
        </w:rPr>
      </w:pPr>
    </w:p>
    <w:p w14:paraId="7A95B252" w14:textId="7CBAB593" w:rsidR="000A7DE8" w:rsidRPr="00F96FEC" w:rsidRDefault="000A7DE8" w:rsidP="000A7DE8">
      <w:pPr>
        <w:pStyle w:val="BasicParagraph"/>
        <w:tabs>
          <w:tab w:val="left" w:pos="284"/>
        </w:tabs>
        <w:suppressAutoHyphens/>
        <w:spacing w:line="240" w:lineRule="auto"/>
        <w:jc w:val="both"/>
        <w:rPr>
          <w:rFonts w:ascii="Century Gothic" w:hAnsi="Century Gothic" w:cs="Clother Light"/>
          <w:b/>
          <w:bCs/>
          <w:color w:val="5C2D90"/>
          <w:sz w:val="16"/>
          <w:szCs w:val="16"/>
        </w:rPr>
      </w:pPr>
      <w:r w:rsidRPr="00F96FEC">
        <w:rPr>
          <w:rFonts w:ascii="Century Gothic" w:hAnsi="Century Gothic"/>
          <w:b/>
          <w:color w:val="5C2D90"/>
          <w:sz w:val="16"/>
        </w:rPr>
        <w:t>Acerca de Apollo Tyres Ltd.</w:t>
      </w:r>
    </w:p>
    <w:p w14:paraId="5BE6E335" w14:textId="42631052" w:rsidR="000A7DE8" w:rsidRPr="003D1723" w:rsidRDefault="000A7DE8" w:rsidP="000A7DE8">
      <w:pPr>
        <w:pStyle w:val="BasicParagraph"/>
        <w:spacing w:line="240" w:lineRule="auto"/>
        <w:jc w:val="both"/>
        <w:rPr>
          <w:rFonts w:ascii="Century Gothic" w:hAnsi="Century Gothic" w:cs="Clother Light"/>
          <w:sz w:val="16"/>
          <w:szCs w:val="16"/>
        </w:rPr>
      </w:pPr>
      <w:r w:rsidRPr="00F96FEC">
        <w:rPr>
          <w:rFonts w:ascii="Century Gothic" w:hAnsi="Century Gothic"/>
          <w:sz w:val="16"/>
        </w:rPr>
        <w:t>Apollo Tyres Ltd. es un fabricante de neumáticos internacional y la marca líder de neumáticos en la India. Cuenta con varias unidades de producción en la India, una en los Países Bajos y otra en Hungría. La empresa comercializa sus productos bajo el nombre de sus dos marcas: Apollo y Vredestein. Sus productos están disponibles en más de 100 países a través de una amplia red de puntos de</w:t>
      </w:r>
      <w:r>
        <w:rPr>
          <w:rFonts w:ascii="Century Gothic" w:hAnsi="Century Gothic"/>
          <w:sz w:val="16"/>
        </w:rPr>
        <w:t xml:space="preserve"> venta, tanto exclusivos como multimarca.</w:t>
      </w:r>
    </w:p>
    <w:p w14:paraId="0A5D9EF4" w14:textId="77777777" w:rsidR="000A7DE8" w:rsidRDefault="000A7DE8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0BA84B5" w14:textId="2BEF8E3B" w:rsidR="00C0707F" w:rsidRPr="00611860" w:rsidRDefault="00C0707F" w:rsidP="0005437C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color w:val="000000"/>
          <w:sz w:val="18"/>
          <w:szCs w:val="18"/>
        </w:rPr>
      </w:pPr>
    </w:p>
    <w:sectPr w:rsidR="00C0707F" w:rsidRPr="0061186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811A" w14:textId="77777777" w:rsidR="00002C81" w:rsidRDefault="00002C81" w:rsidP="000455B1">
      <w:pPr>
        <w:spacing w:after="0" w:line="240" w:lineRule="auto"/>
      </w:pPr>
      <w:r>
        <w:separator/>
      </w:r>
    </w:p>
  </w:endnote>
  <w:endnote w:type="continuationSeparator" w:id="0">
    <w:p w14:paraId="7059C630" w14:textId="77777777" w:rsidR="00002C81" w:rsidRDefault="00002C81" w:rsidP="000455B1">
      <w:pPr>
        <w:spacing w:after="0" w:line="240" w:lineRule="auto"/>
      </w:pPr>
      <w:r>
        <w:continuationSeparator/>
      </w:r>
    </w:p>
  </w:endnote>
  <w:endnote w:type="continuationNotice" w:id="1">
    <w:p w14:paraId="258EA93B" w14:textId="77777777" w:rsidR="00002C81" w:rsidRDefault="00002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B2FA" w14:textId="77777777" w:rsidR="00002C81" w:rsidRDefault="00002C81" w:rsidP="000455B1">
      <w:pPr>
        <w:spacing w:after="0" w:line="240" w:lineRule="auto"/>
      </w:pPr>
      <w:r>
        <w:separator/>
      </w:r>
    </w:p>
  </w:footnote>
  <w:footnote w:type="continuationSeparator" w:id="0">
    <w:p w14:paraId="49D85F9E" w14:textId="77777777" w:rsidR="00002C81" w:rsidRDefault="00002C81" w:rsidP="000455B1">
      <w:pPr>
        <w:spacing w:after="0" w:line="240" w:lineRule="auto"/>
      </w:pPr>
      <w:r>
        <w:continuationSeparator/>
      </w:r>
    </w:p>
  </w:footnote>
  <w:footnote w:type="continuationNotice" w:id="1">
    <w:p w14:paraId="7EDD6725" w14:textId="77777777" w:rsidR="00002C81" w:rsidRDefault="00002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F5A" w14:textId="77777777" w:rsidR="000455B1" w:rsidRDefault="000455B1" w:rsidP="000455B1">
    <w:pPr>
      <w:pStyle w:val="paragraph"/>
      <w:spacing w:before="0" w:beforeAutospacing="0" w:after="0" w:afterAutospacing="0"/>
      <w:ind w:left="-285"/>
      <w:textAlignment w:val="baseline"/>
      <w:rPr>
        <w:rStyle w:val="tabchar"/>
        <w:rFonts w:ascii="Calibri" w:hAnsi="Calibri" w:cs="Calibri"/>
        <w:sz w:val="22"/>
        <w:szCs w:val="22"/>
      </w:rPr>
    </w:pPr>
    <w:r>
      <w:rPr>
        <w:rStyle w:val="wacimagecontainer"/>
        <w:rFonts w:ascii="Segoe UI" w:hAnsi="Segoe UI"/>
        <w:noProof/>
        <w:sz w:val="18"/>
      </w:rPr>
      <w:drawing>
        <wp:inline distT="0" distB="0" distL="0" distR="0" wp14:anchorId="1C565C78" wp14:editId="7783D45F">
          <wp:extent cx="1974850" cy="723900"/>
          <wp:effectExtent l="0" t="0" r="6350" b="0"/>
          <wp:docPr id="148720473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ascii="Calibri" w:hAnsi="Calibri"/>
        <w:sz w:val="22"/>
      </w:rPr>
      <w:tab/>
    </w:r>
    <w:r>
      <w:rPr>
        <w:rStyle w:val="tabchar"/>
        <w:rFonts w:ascii="Calibri" w:hAnsi="Calibri"/>
        <w:sz w:val="22"/>
      </w:rPr>
      <w:tab/>
    </w:r>
  </w:p>
  <w:p w14:paraId="38263419" w14:textId="7D88A64C" w:rsidR="000455B1" w:rsidRDefault="000455B1" w:rsidP="000455B1">
    <w:pPr>
      <w:pStyle w:val="paragraph"/>
      <w:spacing w:before="0" w:beforeAutospacing="0" w:after="0" w:afterAutospacing="0"/>
      <w:ind w:left="-285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tabchar"/>
        <w:rFonts w:ascii="Calibri" w:hAnsi="Calibri"/>
        <w:sz w:val="22"/>
      </w:rPr>
      <w:t xml:space="preserve">   </w:t>
    </w:r>
    <w:r>
      <w:rPr>
        <w:rStyle w:val="normaltextrun"/>
        <w:rFonts w:ascii="Century Gothic" w:hAnsi="Century Gothic"/>
        <w:b/>
        <w:sz w:val="22"/>
        <w:u w:val="single"/>
      </w:rPr>
      <w:t>Nota de prensa</w:t>
    </w:r>
    <w:r>
      <w:rPr>
        <w:rStyle w:val="eop"/>
        <w:rFonts w:ascii="Century Gothic" w:hAnsi="Century Gothic"/>
        <w:sz w:val="22"/>
      </w:rPr>
      <w:t> </w:t>
    </w:r>
  </w:p>
  <w:p w14:paraId="1E09E359" w14:textId="77777777" w:rsidR="000455B1" w:rsidRDefault="000455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47B"/>
    <w:multiLevelType w:val="hybridMultilevel"/>
    <w:tmpl w:val="96EA0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5F03"/>
    <w:multiLevelType w:val="hybridMultilevel"/>
    <w:tmpl w:val="5D8A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0C60"/>
    <w:multiLevelType w:val="hybridMultilevel"/>
    <w:tmpl w:val="07F0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E25E4"/>
    <w:multiLevelType w:val="hybridMultilevel"/>
    <w:tmpl w:val="9DDE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36070">
    <w:abstractNumId w:val="1"/>
  </w:num>
  <w:num w:numId="2" w16cid:durableId="1056855291">
    <w:abstractNumId w:val="3"/>
  </w:num>
  <w:num w:numId="3" w16cid:durableId="1743747270">
    <w:abstractNumId w:val="0"/>
  </w:num>
  <w:num w:numId="4" w16cid:durableId="43328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6D"/>
    <w:rsid w:val="000014B2"/>
    <w:rsid w:val="00002C81"/>
    <w:rsid w:val="00004451"/>
    <w:rsid w:val="000077FD"/>
    <w:rsid w:val="00017B01"/>
    <w:rsid w:val="000217DB"/>
    <w:rsid w:val="000221A2"/>
    <w:rsid w:val="0002606B"/>
    <w:rsid w:val="000314F2"/>
    <w:rsid w:val="00032C68"/>
    <w:rsid w:val="000349FB"/>
    <w:rsid w:val="00037122"/>
    <w:rsid w:val="00040455"/>
    <w:rsid w:val="000455B1"/>
    <w:rsid w:val="00047365"/>
    <w:rsid w:val="00051682"/>
    <w:rsid w:val="00051A61"/>
    <w:rsid w:val="00052F88"/>
    <w:rsid w:val="0005437C"/>
    <w:rsid w:val="00057C98"/>
    <w:rsid w:val="0006060D"/>
    <w:rsid w:val="00065AFE"/>
    <w:rsid w:val="00065FA1"/>
    <w:rsid w:val="00066E77"/>
    <w:rsid w:val="00073F35"/>
    <w:rsid w:val="00077ABF"/>
    <w:rsid w:val="000858DA"/>
    <w:rsid w:val="00086D73"/>
    <w:rsid w:val="00092CBF"/>
    <w:rsid w:val="0009438B"/>
    <w:rsid w:val="000A2364"/>
    <w:rsid w:val="000A2A3C"/>
    <w:rsid w:val="000A6A29"/>
    <w:rsid w:val="000A7DE8"/>
    <w:rsid w:val="000B07A5"/>
    <w:rsid w:val="000B33C9"/>
    <w:rsid w:val="000B3F40"/>
    <w:rsid w:val="000B4372"/>
    <w:rsid w:val="000B7401"/>
    <w:rsid w:val="000C2D1E"/>
    <w:rsid w:val="000C5532"/>
    <w:rsid w:val="000D3D3D"/>
    <w:rsid w:val="000D5DD8"/>
    <w:rsid w:val="000D7748"/>
    <w:rsid w:val="000E0F3F"/>
    <w:rsid w:val="000E357C"/>
    <w:rsid w:val="000F089E"/>
    <w:rsid w:val="000F0C3C"/>
    <w:rsid w:val="000F162E"/>
    <w:rsid w:val="000F302B"/>
    <w:rsid w:val="000F54B5"/>
    <w:rsid w:val="00100935"/>
    <w:rsid w:val="001013A4"/>
    <w:rsid w:val="0010503E"/>
    <w:rsid w:val="00111CC1"/>
    <w:rsid w:val="0011369B"/>
    <w:rsid w:val="001142FC"/>
    <w:rsid w:val="001144CF"/>
    <w:rsid w:val="00114A3F"/>
    <w:rsid w:val="00121FF2"/>
    <w:rsid w:val="00124D1F"/>
    <w:rsid w:val="00127410"/>
    <w:rsid w:val="001307D2"/>
    <w:rsid w:val="00131D37"/>
    <w:rsid w:val="0013477E"/>
    <w:rsid w:val="00136164"/>
    <w:rsid w:val="00136226"/>
    <w:rsid w:val="00136811"/>
    <w:rsid w:val="00137759"/>
    <w:rsid w:val="00145556"/>
    <w:rsid w:val="00145666"/>
    <w:rsid w:val="001522BB"/>
    <w:rsid w:val="00152DE8"/>
    <w:rsid w:val="00154B6D"/>
    <w:rsid w:val="00157389"/>
    <w:rsid w:val="00161197"/>
    <w:rsid w:val="00162B31"/>
    <w:rsid w:val="001633A7"/>
    <w:rsid w:val="001651FB"/>
    <w:rsid w:val="001655AC"/>
    <w:rsid w:val="00170024"/>
    <w:rsid w:val="00170C4A"/>
    <w:rsid w:val="001731CA"/>
    <w:rsid w:val="00175DA0"/>
    <w:rsid w:val="001761BF"/>
    <w:rsid w:val="00181994"/>
    <w:rsid w:val="00183DD5"/>
    <w:rsid w:val="001855CD"/>
    <w:rsid w:val="00190062"/>
    <w:rsid w:val="001946C9"/>
    <w:rsid w:val="00196D7C"/>
    <w:rsid w:val="001A6241"/>
    <w:rsid w:val="001A65C4"/>
    <w:rsid w:val="001B037A"/>
    <w:rsid w:val="001B2289"/>
    <w:rsid w:val="001C061E"/>
    <w:rsid w:val="001C4EE2"/>
    <w:rsid w:val="001D2F54"/>
    <w:rsid w:val="001D646B"/>
    <w:rsid w:val="001E0E10"/>
    <w:rsid w:val="001E5DA2"/>
    <w:rsid w:val="001E6406"/>
    <w:rsid w:val="001F080D"/>
    <w:rsid w:val="001F524A"/>
    <w:rsid w:val="00200AE9"/>
    <w:rsid w:val="00204359"/>
    <w:rsid w:val="002106B4"/>
    <w:rsid w:val="00212063"/>
    <w:rsid w:val="00213A5B"/>
    <w:rsid w:val="00214067"/>
    <w:rsid w:val="002175DE"/>
    <w:rsid w:val="0022216D"/>
    <w:rsid w:val="00226B5D"/>
    <w:rsid w:val="002272B1"/>
    <w:rsid w:val="0022749B"/>
    <w:rsid w:val="00231A0B"/>
    <w:rsid w:val="00231A5C"/>
    <w:rsid w:val="00233DE7"/>
    <w:rsid w:val="00237C1B"/>
    <w:rsid w:val="00237FD6"/>
    <w:rsid w:val="002417B5"/>
    <w:rsid w:val="002418CB"/>
    <w:rsid w:val="00241E1B"/>
    <w:rsid w:val="002433C4"/>
    <w:rsid w:val="00251246"/>
    <w:rsid w:val="00251A1A"/>
    <w:rsid w:val="0025431E"/>
    <w:rsid w:val="00255234"/>
    <w:rsid w:val="0026280E"/>
    <w:rsid w:val="0026281F"/>
    <w:rsid w:val="00262A3E"/>
    <w:rsid w:val="00262F50"/>
    <w:rsid w:val="002635D4"/>
    <w:rsid w:val="00267D86"/>
    <w:rsid w:val="0027092D"/>
    <w:rsid w:val="0027385A"/>
    <w:rsid w:val="00275AE7"/>
    <w:rsid w:val="00276EA3"/>
    <w:rsid w:val="00280F31"/>
    <w:rsid w:val="00282697"/>
    <w:rsid w:val="002853EB"/>
    <w:rsid w:val="00294623"/>
    <w:rsid w:val="002A30D6"/>
    <w:rsid w:val="002A3250"/>
    <w:rsid w:val="002A4AD8"/>
    <w:rsid w:val="002A56E9"/>
    <w:rsid w:val="002A6885"/>
    <w:rsid w:val="002B1145"/>
    <w:rsid w:val="002B1181"/>
    <w:rsid w:val="002C4F9B"/>
    <w:rsid w:val="002C5B71"/>
    <w:rsid w:val="002D03CB"/>
    <w:rsid w:val="002D1588"/>
    <w:rsid w:val="002D45F5"/>
    <w:rsid w:val="002D4EF5"/>
    <w:rsid w:val="002D6EDB"/>
    <w:rsid w:val="002D7A3D"/>
    <w:rsid w:val="002E02AD"/>
    <w:rsid w:val="002E27FF"/>
    <w:rsid w:val="002E3F79"/>
    <w:rsid w:val="002E6E09"/>
    <w:rsid w:val="002E7CE5"/>
    <w:rsid w:val="002F1696"/>
    <w:rsid w:val="002F71DE"/>
    <w:rsid w:val="00301C8F"/>
    <w:rsid w:val="00302DBD"/>
    <w:rsid w:val="00305D87"/>
    <w:rsid w:val="00310B6F"/>
    <w:rsid w:val="003122E7"/>
    <w:rsid w:val="00312CDE"/>
    <w:rsid w:val="0031464B"/>
    <w:rsid w:val="00315831"/>
    <w:rsid w:val="003239FF"/>
    <w:rsid w:val="00323BE0"/>
    <w:rsid w:val="0032529C"/>
    <w:rsid w:val="00326A17"/>
    <w:rsid w:val="003346A1"/>
    <w:rsid w:val="00340740"/>
    <w:rsid w:val="00342882"/>
    <w:rsid w:val="0034796E"/>
    <w:rsid w:val="00351AF0"/>
    <w:rsid w:val="00355F8F"/>
    <w:rsid w:val="003561F4"/>
    <w:rsid w:val="0035731E"/>
    <w:rsid w:val="003611BA"/>
    <w:rsid w:val="00362A99"/>
    <w:rsid w:val="0037248E"/>
    <w:rsid w:val="00374465"/>
    <w:rsid w:val="0037446D"/>
    <w:rsid w:val="003756FD"/>
    <w:rsid w:val="0037575F"/>
    <w:rsid w:val="00380503"/>
    <w:rsid w:val="003819DF"/>
    <w:rsid w:val="00382A82"/>
    <w:rsid w:val="00382F7B"/>
    <w:rsid w:val="00383302"/>
    <w:rsid w:val="00386D18"/>
    <w:rsid w:val="00386FB8"/>
    <w:rsid w:val="00390A85"/>
    <w:rsid w:val="00390DA5"/>
    <w:rsid w:val="0039481E"/>
    <w:rsid w:val="00396E77"/>
    <w:rsid w:val="003B32C7"/>
    <w:rsid w:val="003B35E8"/>
    <w:rsid w:val="003B6912"/>
    <w:rsid w:val="003C0013"/>
    <w:rsid w:val="003C0730"/>
    <w:rsid w:val="003C1C85"/>
    <w:rsid w:val="003C32EC"/>
    <w:rsid w:val="003D5916"/>
    <w:rsid w:val="003E07D2"/>
    <w:rsid w:val="003E09F4"/>
    <w:rsid w:val="003E3683"/>
    <w:rsid w:val="003E7406"/>
    <w:rsid w:val="003F0910"/>
    <w:rsid w:val="003F1106"/>
    <w:rsid w:val="003F26B5"/>
    <w:rsid w:val="003F2AE4"/>
    <w:rsid w:val="003F3000"/>
    <w:rsid w:val="003F3988"/>
    <w:rsid w:val="00400B84"/>
    <w:rsid w:val="004067D7"/>
    <w:rsid w:val="00411043"/>
    <w:rsid w:val="0041391A"/>
    <w:rsid w:val="00413EF3"/>
    <w:rsid w:val="004158B1"/>
    <w:rsid w:val="00422560"/>
    <w:rsid w:val="00431DC6"/>
    <w:rsid w:val="00432B5E"/>
    <w:rsid w:val="00434603"/>
    <w:rsid w:val="00434963"/>
    <w:rsid w:val="00435D13"/>
    <w:rsid w:val="00436884"/>
    <w:rsid w:val="004400C2"/>
    <w:rsid w:val="0044048F"/>
    <w:rsid w:val="00440826"/>
    <w:rsid w:val="00440C55"/>
    <w:rsid w:val="004441E3"/>
    <w:rsid w:val="004446F1"/>
    <w:rsid w:val="00445399"/>
    <w:rsid w:val="0044695D"/>
    <w:rsid w:val="004474A6"/>
    <w:rsid w:val="00452298"/>
    <w:rsid w:val="0045342C"/>
    <w:rsid w:val="004548C3"/>
    <w:rsid w:val="00456293"/>
    <w:rsid w:val="00467C33"/>
    <w:rsid w:val="004701FE"/>
    <w:rsid w:val="00470A29"/>
    <w:rsid w:val="0047542D"/>
    <w:rsid w:val="00475801"/>
    <w:rsid w:val="004856DC"/>
    <w:rsid w:val="004877BF"/>
    <w:rsid w:val="00491294"/>
    <w:rsid w:val="004931B4"/>
    <w:rsid w:val="004940A9"/>
    <w:rsid w:val="004A41E3"/>
    <w:rsid w:val="004C0B42"/>
    <w:rsid w:val="004C1291"/>
    <w:rsid w:val="004C5DDF"/>
    <w:rsid w:val="004C6BE4"/>
    <w:rsid w:val="004D1306"/>
    <w:rsid w:val="004D6288"/>
    <w:rsid w:val="004D7EBE"/>
    <w:rsid w:val="004E03AC"/>
    <w:rsid w:val="004E170E"/>
    <w:rsid w:val="004F3D30"/>
    <w:rsid w:val="004F440F"/>
    <w:rsid w:val="004F5999"/>
    <w:rsid w:val="004F75C3"/>
    <w:rsid w:val="00510223"/>
    <w:rsid w:val="00515E5C"/>
    <w:rsid w:val="00515FCD"/>
    <w:rsid w:val="00540BEB"/>
    <w:rsid w:val="00541601"/>
    <w:rsid w:val="005427D4"/>
    <w:rsid w:val="00543D15"/>
    <w:rsid w:val="0054589B"/>
    <w:rsid w:val="00545F21"/>
    <w:rsid w:val="00547C46"/>
    <w:rsid w:val="0055500D"/>
    <w:rsid w:val="00556ABA"/>
    <w:rsid w:val="005668DA"/>
    <w:rsid w:val="0057153F"/>
    <w:rsid w:val="00575EF5"/>
    <w:rsid w:val="00580101"/>
    <w:rsid w:val="00580DC8"/>
    <w:rsid w:val="005834BB"/>
    <w:rsid w:val="00584A83"/>
    <w:rsid w:val="00587853"/>
    <w:rsid w:val="0059043A"/>
    <w:rsid w:val="005905BC"/>
    <w:rsid w:val="00594C93"/>
    <w:rsid w:val="005A1ACC"/>
    <w:rsid w:val="005A28B4"/>
    <w:rsid w:val="005A37A2"/>
    <w:rsid w:val="005A38E9"/>
    <w:rsid w:val="005A5493"/>
    <w:rsid w:val="005A65A1"/>
    <w:rsid w:val="005B03EA"/>
    <w:rsid w:val="005B163A"/>
    <w:rsid w:val="005B2CC6"/>
    <w:rsid w:val="005B2F49"/>
    <w:rsid w:val="005C004D"/>
    <w:rsid w:val="005C27F5"/>
    <w:rsid w:val="005C3030"/>
    <w:rsid w:val="005C5573"/>
    <w:rsid w:val="005C63EF"/>
    <w:rsid w:val="005E317B"/>
    <w:rsid w:val="005E4286"/>
    <w:rsid w:val="005E60AC"/>
    <w:rsid w:val="005E64DE"/>
    <w:rsid w:val="005F5C5B"/>
    <w:rsid w:val="006066E6"/>
    <w:rsid w:val="00607CB2"/>
    <w:rsid w:val="006113B2"/>
    <w:rsid w:val="006114F0"/>
    <w:rsid w:val="00611860"/>
    <w:rsid w:val="0061549F"/>
    <w:rsid w:val="00615CAB"/>
    <w:rsid w:val="00615D56"/>
    <w:rsid w:val="006207E4"/>
    <w:rsid w:val="006226A4"/>
    <w:rsid w:val="006275E9"/>
    <w:rsid w:val="006303DF"/>
    <w:rsid w:val="00635B11"/>
    <w:rsid w:val="00644055"/>
    <w:rsid w:val="00644339"/>
    <w:rsid w:val="0064576E"/>
    <w:rsid w:val="0064583E"/>
    <w:rsid w:val="00651886"/>
    <w:rsid w:val="00652BBE"/>
    <w:rsid w:val="00653548"/>
    <w:rsid w:val="00653DFE"/>
    <w:rsid w:val="00654BE8"/>
    <w:rsid w:val="006674CC"/>
    <w:rsid w:val="00672872"/>
    <w:rsid w:val="0067358A"/>
    <w:rsid w:val="006748CF"/>
    <w:rsid w:val="0067619F"/>
    <w:rsid w:val="00677743"/>
    <w:rsid w:val="006837C1"/>
    <w:rsid w:val="00685B75"/>
    <w:rsid w:val="00687FDA"/>
    <w:rsid w:val="006911D2"/>
    <w:rsid w:val="00693F22"/>
    <w:rsid w:val="00694FCA"/>
    <w:rsid w:val="00696275"/>
    <w:rsid w:val="00696807"/>
    <w:rsid w:val="006A338B"/>
    <w:rsid w:val="006A4A48"/>
    <w:rsid w:val="006A600B"/>
    <w:rsid w:val="006A775E"/>
    <w:rsid w:val="006B3126"/>
    <w:rsid w:val="006B67E7"/>
    <w:rsid w:val="006C30FC"/>
    <w:rsid w:val="006C5979"/>
    <w:rsid w:val="006D11F7"/>
    <w:rsid w:val="006D5001"/>
    <w:rsid w:val="006E13F5"/>
    <w:rsid w:val="006E2A3E"/>
    <w:rsid w:val="006E3E4F"/>
    <w:rsid w:val="006E480A"/>
    <w:rsid w:val="006E7761"/>
    <w:rsid w:val="006F102D"/>
    <w:rsid w:val="006F3E09"/>
    <w:rsid w:val="006F6283"/>
    <w:rsid w:val="006F6D13"/>
    <w:rsid w:val="006F7460"/>
    <w:rsid w:val="006F7A5F"/>
    <w:rsid w:val="00700FE3"/>
    <w:rsid w:val="00703037"/>
    <w:rsid w:val="007034E8"/>
    <w:rsid w:val="007036BC"/>
    <w:rsid w:val="00704802"/>
    <w:rsid w:val="0070663C"/>
    <w:rsid w:val="00706CE9"/>
    <w:rsid w:val="00707560"/>
    <w:rsid w:val="00711E41"/>
    <w:rsid w:val="00714152"/>
    <w:rsid w:val="0071576F"/>
    <w:rsid w:val="0072139B"/>
    <w:rsid w:val="00722631"/>
    <w:rsid w:val="007235C5"/>
    <w:rsid w:val="00733253"/>
    <w:rsid w:val="00736ABC"/>
    <w:rsid w:val="0074290B"/>
    <w:rsid w:val="00745419"/>
    <w:rsid w:val="00752DC6"/>
    <w:rsid w:val="0075387E"/>
    <w:rsid w:val="0075693F"/>
    <w:rsid w:val="0076170F"/>
    <w:rsid w:val="00766A8B"/>
    <w:rsid w:val="0077596F"/>
    <w:rsid w:val="0077653A"/>
    <w:rsid w:val="007818DF"/>
    <w:rsid w:val="007831AE"/>
    <w:rsid w:val="007839EC"/>
    <w:rsid w:val="00783C73"/>
    <w:rsid w:val="00785730"/>
    <w:rsid w:val="00786488"/>
    <w:rsid w:val="00787767"/>
    <w:rsid w:val="00791BC2"/>
    <w:rsid w:val="007955D6"/>
    <w:rsid w:val="007977F2"/>
    <w:rsid w:val="007A0A2D"/>
    <w:rsid w:val="007A1359"/>
    <w:rsid w:val="007A2E27"/>
    <w:rsid w:val="007A3E56"/>
    <w:rsid w:val="007C05EA"/>
    <w:rsid w:val="007C64CF"/>
    <w:rsid w:val="007C7903"/>
    <w:rsid w:val="007C7F1B"/>
    <w:rsid w:val="007E106D"/>
    <w:rsid w:val="007E1F3B"/>
    <w:rsid w:val="007E3AB3"/>
    <w:rsid w:val="007E49CA"/>
    <w:rsid w:val="007F015E"/>
    <w:rsid w:val="007F5580"/>
    <w:rsid w:val="00805839"/>
    <w:rsid w:val="00805FF1"/>
    <w:rsid w:val="008138DF"/>
    <w:rsid w:val="008159C2"/>
    <w:rsid w:val="00817732"/>
    <w:rsid w:val="00821542"/>
    <w:rsid w:val="00822CB3"/>
    <w:rsid w:val="00822DE5"/>
    <w:rsid w:val="0082471A"/>
    <w:rsid w:val="00826A13"/>
    <w:rsid w:val="00826A3C"/>
    <w:rsid w:val="008324B0"/>
    <w:rsid w:val="00832AFE"/>
    <w:rsid w:val="0083352F"/>
    <w:rsid w:val="0083627C"/>
    <w:rsid w:val="00843E02"/>
    <w:rsid w:val="00846A85"/>
    <w:rsid w:val="00846B85"/>
    <w:rsid w:val="00847CF9"/>
    <w:rsid w:val="008512E6"/>
    <w:rsid w:val="00852C53"/>
    <w:rsid w:val="008669A9"/>
    <w:rsid w:val="008678E7"/>
    <w:rsid w:val="00873F17"/>
    <w:rsid w:val="008776B1"/>
    <w:rsid w:val="00884225"/>
    <w:rsid w:val="008849DA"/>
    <w:rsid w:val="008917A1"/>
    <w:rsid w:val="008927B5"/>
    <w:rsid w:val="00892BEF"/>
    <w:rsid w:val="00894263"/>
    <w:rsid w:val="00895E21"/>
    <w:rsid w:val="00897C51"/>
    <w:rsid w:val="008A1ABD"/>
    <w:rsid w:val="008A3C82"/>
    <w:rsid w:val="008A72E6"/>
    <w:rsid w:val="008B1F21"/>
    <w:rsid w:val="008B2AFF"/>
    <w:rsid w:val="008C28B0"/>
    <w:rsid w:val="008C5532"/>
    <w:rsid w:val="008C6AB7"/>
    <w:rsid w:val="008C6D38"/>
    <w:rsid w:val="008D1056"/>
    <w:rsid w:val="008D23C1"/>
    <w:rsid w:val="008D3529"/>
    <w:rsid w:val="008D3B49"/>
    <w:rsid w:val="008E261B"/>
    <w:rsid w:val="008E37C9"/>
    <w:rsid w:val="008E4DC4"/>
    <w:rsid w:val="008E6CF2"/>
    <w:rsid w:val="008F02EC"/>
    <w:rsid w:val="008F462B"/>
    <w:rsid w:val="008F5B29"/>
    <w:rsid w:val="008F7115"/>
    <w:rsid w:val="009002EF"/>
    <w:rsid w:val="00905207"/>
    <w:rsid w:val="0090560C"/>
    <w:rsid w:val="00906F49"/>
    <w:rsid w:val="00911A9F"/>
    <w:rsid w:val="00913520"/>
    <w:rsid w:val="009146F7"/>
    <w:rsid w:val="009161B1"/>
    <w:rsid w:val="00916C65"/>
    <w:rsid w:val="0092334D"/>
    <w:rsid w:val="00925EBA"/>
    <w:rsid w:val="00926E95"/>
    <w:rsid w:val="00931F8F"/>
    <w:rsid w:val="00935ED6"/>
    <w:rsid w:val="0094151F"/>
    <w:rsid w:val="0094537E"/>
    <w:rsid w:val="00945C90"/>
    <w:rsid w:val="00946420"/>
    <w:rsid w:val="00946EF8"/>
    <w:rsid w:val="00947321"/>
    <w:rsid w:val="00947392"/>
    <w:rsid w:val="00950413"/>
    <w:rsid w:val="0095057F"/>
    <w:rsid w:val="009507AD"/>
    <w:rsid w:val="00951AE2"/>
    <w:rsid w:val="009525C3"/>
    <w:rsid w:val="00952E7F"/>
    <w:rsid w:val="00956053"/>
    <w:rsid w:val="00956513"/>
    <w:rsid w:val="009575C4"/>
    <w:rsid w:val="009600B8"/>
    <w:rsid w:val="00963408"/>
    <w:rsid w:val="009646A8"/>
    <w:rsid w:val="00967BB8"/>
    <w:rsid w:val="009821F6"/>
    <w:rsid w:val="0098305D"/>
    <w:rsid w:val="009838C0"/>
    <w:rsid w:val="00984320"/>
    <w:rsid w:val="009843D7"/>
    <w:rsid w:val="009851F1"/>
    <w:rsid w:val="009939F1"/>
    <w:rsid w:val="0099474D"/>
    <w:rsid w:val="009977B5"/>
    <w:rsid w:val="009A2F30"/>
    <w:rsid w:val="009A4AF3"/>
    <w:rsid w:val="009A4CB5"/>
    <w:rsid w:val="009B1F05"/>
    <w:rsid w:val="009B6A8A"/>
    <w:rsid w:val="009C5487"/>
    <w:rsid w:val="009C55A7"/>
    <w:rsid w:val="009C628E"/>
    <w:rsid w:val="009C71DA"/>
    <w:rsid w:val="009D089E"/>
    <w:rsid w:val="009D21BD"/>
    <w:rsid w:val="009D50BA"/>
    <w:rsid w:val="009E0E66"/>
    <w:rsid w:val="009E1E7C"/>
    <w:rsid w:val="009E305D"/>
    <w:rsid w:val="009E5A79"/>
    <w:rsid w:val="009E7DA8"/>
    <w:rsid w:val="009F07B6"/>
    <w:rsid w:val="00A0035F"/>
    <w:rsid w:val="00A008D1"/>
    <w:rsid w:val="00A01AF3"/>
    <w:rsid w:val="00A0543E"/>
    <w:rsid w:val="00A05914"/>
    <w:rsid w:val="00A06891"/>
    <w:rsid w:val="00A10328"/>
    <w:rsid w:val="00A1150B"/>
    <w:rsid w:val="00A11564"/>
    <w:rsid w:val="00A117EB"/>
    <w:rsid w:val="00A1201B"/>
    <w:rsid w:val="00A123F2"/>
    <w:rsid w:val="00A168FA"/>
    <w:rsid w:val="00A16CAC"/>
    <w:rsid w:val="00A20641"/>
    <w:rsid w:val="00A25932"/>
    <w:rsid w:val="00A25999"/>
    <w:rsid w:val="00A30ED8"/>
    <w:rsid w:val="00A3352B"/>
    <w:rsid w:val="00A43F4C"/>
    <w:rsid w:val="00A50601"/>
    <w:rsid w:val="00A51CDF"/>
    <w:rsid w:val="00A5600A"/>
    <w:rsid w:val="00A655E1"/>
    <w:rsid w:val="00A678CF"/>
    <w:rsid w:val="00A67CF8"/>
    <w:rsid w:val="00A70C13"/>
    <w:rsid w:val="00A71229"/>
    <w:rsid w:val="00A75724"/>
    <w:rsid w:val="00A83375"/>
    <w:rsid w:val="00A8399D"/>
    <w:rsid w:val="00A85CCF"/>
    <w:rsid w:val="00A90222"/>
    <w:rsid w:val="00A921CD"/>
    <w:rsid w:val="00A936DA"/>
    <w:rsid w:val="00A97AC2"/>
    <w:rsid w:val="00AA4884"/>
    <w:rsid w:val="00AC581B"/>
    <w:rsid w:val="00AD0EEB"/>
    <w:rsid w:val="00AD346A"/>
    <w:rsid w:val="00AD5084"/>
    <w:rsid w:val="00AD5700"/>
    <w:rsid w:val="00AD7C91"/>
    <w:rsid w:val="00AE0252"/>
    <w:rsid w:val="00AE5273"/>
    <w:rsid w:val="00AE62F8"/>
    <w:rsid w:val="00AF09DF"/>
    <w:rsid w:val="00AF65E1"/>
    <w:rsid w:val="00B00D15"/>
    <w:rsid w:val="00B01C5A"/>
    <w:rsid w:val="00B030F8"/>
    <w:rsid w:val="00B05DA5"/>
    <w:rsid w:val="00B07143"/>
    <w:rsid w:val="00B11079"/>
    <w:rsid w:val="00B26E23"/>
    <w:rsid w:val="00B273BB"/>
    <w:rsid w:val="00B27750"/>
    <w:rsid w:val="00B31C0D"/>
    <w:rsid w:val="00B40B3E"/>
    <w:rsid w:val="00B4211C"/>
    <w:rsid w:val="00B4540F"/>
    <w:rsid w:val="00B50CF3"/>
    <w:rsid w:val="00B55AEC"/>
    <w:rsid w:val="00B67D0A"/>
    <w:rsid w:val="00B72618"/>
    <w:rsid w:val="00B734DD"/>
    <w:rsid w:val="00B73695"/>
    <w:rsid w:val="00B763C6"/>
    <w:rsid w:val="00B765A3"/>
    <w:rsid w:val="00B905A1"/>
    <w:rsid w:val="00B92188"/>
    <w:rsid w:val="00B9332E"/>
    <w:rsid w:val="00BA1CEB"/>
    <w:rsid w:val="00BA2304"/>
    <w:rsid w:val="00BA5989"/>
    <w:rsid w:val="00BA5C18"/>
    <w:rsid w:val="00BB2A43"/>
    <w:rsid w:val="00BB46B3"/>
    <w:rsid w:val="00BB4714"/>
    <w:rsid w:val="00BC077A"/>
    <w:rsid w:val="00BC30A8"/>
    <w:rsid w:val="00BC4A86"/>
    <w:rsid w:val="00BC5AC2"/>
    <w:rsid w:val="00BD22E0"/>
    <w:rsid w:val="00BD237F"/>
    <w:rsid w:val="00BD319E"/>
    <w:rsid w:val="00BD4697"/>
    <w:rsid w:val="00BD5328"/>
    <w:rsid w:val="00BD70DC"/>
    <w:rsid w:val="00BE582E"/>
    <w:rsid w:val="00BE739F"/>
    <w:rsid w:val="00BF65B7"/>
    <w:rsid w:val="00C013ED"/>
    <w:rsid w:val="00C03047"/>
    <w:rsid w:val="00C03C4E"/>
    <w:rsid w:val="00C04CE5"/>
    <w:rsid w:val="00C0707F"/>
    <w:rsid w:val="00C1026D"/>
    <w:rsid w:val="00C10EAA"/>
    <w:rsid w:val="00C1310E"/>
    <w:rsid w:val="00C1512F"/>
    <w:rsid w:val="00C1689B"/>
    <w:rsid w:val="00C23527"/>
    <w:rsid w:val="00C2377C"/>
    <w:rsid w:val="00C241AA"/>
    <w:rsid w:val="00C31E6F"/>
    <w:rsid w:val="00C349A0"/>
    <w:rsid w:val="00C34C2F"/>
    <w:rsid w:val="00C36F0A"/>
    <w:rsid w:val="00C458A1"/>
    <w:rsid w:val="00C50300"/>
    <w:rsid w:val="00C52CF4"/>
    <w:rsid w:val="00C5340C"/>
    <w:rsid w:val="00C57376"/>
    <w:rsid w:val="00C62735"/>
    <w:rsid w:val="00C62FA0"/>
    <w:rsid w:val="00C6329F"/>
    <w:rsid w:val="00C6352D"/>
    <w:rsid w:val="00C64003"/>
    <w:rsid w:val="00C67C78"/>
    <w:rsid w:val="00C7122D"/>
    <w:rsid w:val="00C74CF2"/>
    <w:rsid w:val="00C76147"/>
    <w:rsid w:val="00C90C26"/>
    <w:rsid w:val="00C92A00"/>
    <w:rsid w:val="00C938BF"/>
    <w:rsid w:val="00C95AEE"/>
    <w:rsid w:val="00CA0772"/>
    <w:rsid w:val="00CA116E"/>
    <w:rsid w:val="00CA38DB"/>
    <w:rsid w:val="00CA4626"/>
    <w:rsid w:val="00CA53EC"/>
    <w:rsid w:val="00CA54A2"/>
    <w:rsid w:val="00CA60AE"/>
    <w:rsid w:val="00CB08AA"/>
    <w:rsid w:val="00CB5D15"/>
    <w:rsid w:val="00CB6590"/>
    <w:rsid w:val="00CC142F"/>
    <w:rsid w:val="00CC27F6"/>
    <w:rsid w:val="00CC2AA3"/>
    <w:rsid w:val="00CC349C"/>
    <w:rsid w:val="00CC5CA9"/>
    <w:rsid w:val="00CC6B71"/>
    <w:rsid w:val="00CC6FF9"/>
    <w:rsid w:val="00CD001D"/>
    <w:rsid w:val="00CD660E"/>
    <w:rsid w:val="00CE2F7C"/>
    <w:rsid w:val="00CE4309"/>
    <w:rsid w:val="00CE5C04"/>
    <w:rsid w:val="00CE6995"/>
    <w:rsid w:val="00CF127B"/>
    <w:rsid w:val="00CF16BA"/>
    <w:rsid w:val="00CF4097"/>
    <w:rsid w:val="00CF43C3"/>
    <w:rsid w:val="00D01E38"/>
    <w:rsid w:val="00D11EC4"/>
    <w:rsid w:val="00D15BB7"/>
    <w:rsid w:val="00D2008F"/>
    <w:rsid w:val="00D32905"/>
    <w:rsid w:val="00D3465A"/>
    <w:rsid w:val="00D3699B"/>
    <w:rsid w:val="00D436AE"/>
    <w:rsid w:val="00D43B08"/>
    <w:rsid w:val="00D46DEC"/>
    <w:rsid w:val="00D55EEC"/>
    <w:rsid w:val="00D565ED"/>
    <w:rsid w:val="00D57849"/>
    <w:rsid w:val="00D65357"/>
    <w:rsid w:val="00D71225"/>
    <w:rsid w:val="00D72261"/>
    <w:rsid w:val="00D727C2"/>
    <w:rsid w:val="00D73198"/>
    <w:rsid w:val="00D7776B"/>
    <w:rsid w:val="00D83C75"/>
    <w:rsid w:val="00D84A9D"/>
    <w:rsid w:val="00D91540"/>
    <w:rsid w:val="00D92863"/>
    <w:rsid w:val="00D931F6"/>
    <w:rsid w:val="00D93AA0"/>
    <w:rsid w:val="00D93CFA"/>
    <w:rsid w:val="00D96F9D"/>
    <w:rsid w:val="00DA2414"/>
    <w:rsid w:val="00DA2912"/>
    <w:rsid w:val="00DA296E"/>
    <w:rsid w:val="00DA5609"/>
    <w:rsid w:val="00DB14A0"/>
    <w:rsid w:val="00DC2042"/>
    <w:rsid w:val="00DC4205"/>
    <w:rsid w:val="00DC6FA3"/>
    <w:rsid w:val="00DC77E6"/>
    <w:rsid w:val="00DC7C5A"/>
    <w:rsid w:val="00DE4A7A"/>
    <w:rsid w:val="00DE5A10"/>
    <w:rsid w:val="00DE7436"/>
    <w:rsid w:val="00DF0771"/>
    <w:rsid w:val="00DF2667"/>
    <w:rsid w:val="00DF438B"/>
    <w:rsid w:val="00DF467F"/>
    <w:rsid w:val="00DF5539"/>
    <w:rsid w:val="00DF56AB"/>
    <w:rsid w:val="00DF65F9"/>
    <w:rsid w:val="00DF66F7"/>
    <w:rsid w:val="00E03FF4"/>
    <w:rsid w:val="00E04EB0"/>
    <w:rsid w:val="00E05F59"/>
    <w:rsid w:val="00E07C3E"/>
    <w:rsid w:val="00E11E0B"/>
    <w:rsid w:val="00E122CE"/>
    <w:rsid w:val="00E134CD"/>
    <w:rsid w:val="00E156A0"/>
    <w:rsid w:val="00E16314"/>
    <w:rsid w:val="00E16F40"/>
    <w:rsid w:val="00E2579B"/>
    <w:rsid w:val="00E25EE1"/>
    <w:rsid w:val="00E312FA"/>
    <w:rsid w:val="00E3172C"/>
    <w:rsid w:val="00E31A41"/>
    <w:rsid w:val="00E32928"/>
    <w:rsid w:val="00E35CBD"/>
    <w:rsid w:val="00E3786D"/>
    <w:rsid w:val="00E41ADB"/>
    <w:rsid w:val="00E41B5D"/>
    <w:rsid w:val="00E431F9"/>
    <w:rsid w:val="00E4326A"/>
    <w:rsid w:val="00E509CD"/>
    <w:rsid w:val="00E55081"/>
    <w:rsid w:val="00E6001A"/>
    <w:rsid w:val="00E61593"/>
    <w:rsid w:val="00E621A4"/>
    <w:rsid w:val="00E651E5"/>
    <w:rsid w:val="00E7303C"/>
    <w:rsid w:val="00E76E11"/>
    <w:rsid w:val="00E81DC8"/>
    <w:rsid w:val="00E81E6D"/>
    <w:rsid w:val="00E864D9"/>
    <w:rsid w:val="00E917CF"/>
    <w:rsid w:val="00E945DF"/>
    <w:rsid w:val="00E9662C"/>
    <w:rsid w:val="00EA17E9"/>
    <w:rsid w:val="00EA26DF"/>
    <w:rsid w:val="00EA2C11"/>
    <w:rsid w:val="00EA45FB"/>
    <w:rsid w:val="00EA7475"/>
    <w:rsid w:val="00EB0C06"/>
    <w:rsid w:val="00EB38EB"/>
    <w:rsid w:val="00EB40F6"/>
    <w:rsid w:val="00EB4650"/>
    <w:rsid w:val="00EC0784"/>
    <w:rsid w:val="00EC4D10"/>
    <w:rsid w:val="00EC5794"/>
    <w:rsid w:val="00EC6D6E"/>
    <w:rsid w:val="00EC71FB"/>
    <w:rsid w:val="00ED07E2"/>
    <w:rsid w:val="00ED2967"/>
    <w:rsid w:val="00ED59C1"/>
    <w:rsid w:val="00EE379C"/>
    <w:rsid w:val="00EE52B4"/>
    <w:rsid w:val="00EF2B65"/>
    <w:rsid w:val="00EF2EBA"/>
    <w:rsid w:val="00EF401E"/>
    <w:rsid w:val="00EF42CA"/>
    <w:rsid w:val="00EF4D04"/>
    <w:rsid w:val="00EF52F2"/>
    <w:rsid w:val="00EF551C"/>
    <w:rsid w:val="00F02886"/>
    <w:rsid w:val="00F03122"/>
    <w:rsid w:val="00F03D3C"/>
    <w:rsid w:val="00F0686B"/>
    <w:rsid w:val="00F12704"/>
    <w:rsid w:val="00F12811"/>
    <w:rsid w:val="00F14543"/>
    <w:rsid w:val="00F15BE8"/>
    <w:rsid w:val="00F160A0"/>
    <w:rsid w:val="00F16AA7"/>
    <w:rsid w:val="00F22A28"/>
    <w:rsid w:val="00F26F90"/>
    <w:rsid w:val="00F31B42"/>
    <w:rsid w:val="00F33757"/>
    <w:rsid w:val="00F35E9F"/>
    <w:rsid w:val="00F35FE3"/>
    <w:rsid w:val="00F41218"/>
    <w:rsid w:val="00F41348"/>
    <w:rsid w:val="00F46F8B"/>
    <w:rsid w:val="00F51061"/>
    <w:rsid w:val="00F539C7"/>
    <w:rsid w:val="00F73CFE"/>
    <w:rsid w:val="00F77D69"/>
    <w:rsid w:val="00F80EE5"/>
    <w:rsid w:val="00F8261D"/>
    <w:rsid w:val="00F83428"/>
    <w:rsid w:val="00F950F2"/>
    <w:rsid w:val="00F95171"/>
    <w:rsid w:val="00F9685F"/>
    <w:rsid w:val="00F97AA4"/>
    <w:rsid w:val="00FA0511"/>
    <w:rsid w:val="00FA69EE"/>
    <w:rsid w:val="00FB1092"/>
    <w:rsid w:val="00FB280E"/>
    <w:rsid w:val="00FC41BE"/>
    <w:rsid w:val="00FC7BB4"/>
    <w:rsid w:val="00FD035F"/>
    <w:rsid w:val="00FE2FA3"/>
    <w:rsid w:val="00FF23DB"/>
    <w:rsid w:val="00FF3158"/>
    <w:rsid w:val="00FF334C"/>
    <w:rsid w:val="00FF3FC3"/>
    <w:rsid w:val="00FF4946"/>
    <w:rsid w:val="00FF6C16"/>
    <w:rsid w:val="066BB5BB"/>
    <w:rsid w:val="0692F1C1"/>
    <w:rsid w:val="070806ED"/>
    <w:rsid w:val="07D95968"/>
    <w:rsid w:val="0881B6C7"/>
    <w:rsid w:val="09110392"/>
    <w:rsid w:val="09D9D301"/>
    <w:rsid w:val="0CE38047"/>
    <w:rsid w:val="0D420BEC"/>
    <w:rsid w:val="0F7EFF95"/>
    <w:rsid w:val="10CA37D0"/>
    <w:rsid w:val="121F4678"/>
    <w:rsid w:val="1273E090"/>
    <w:rsid w:val="143C66C9"/>
    <w:rsid w:val="14A38B82"/>
    <w:rsid w:val="191FCD5A"/>
    <w:rsid w:val="1A67EF30"/>
    <w:rsid w:val="1A8E596F"/>
    <w:rsid w:val="1AA33BA6"/>
    <w:rsid w:val="1F90B79A"/>
    <w:rsid w:val="1FE49BD9"/>
    <w:rsid w:val="223CD477"/>
    <w:rsid w:val="24D56D07"/>
    <w:rsid w:val="26DFD923"/>
    <w:rsid w:val="2B6B804F"/>
    <w:rsid w:val="2D83595D"/>
    <w:rsid w:val="2E019E78"/>
    <w:rsid w:val="2E1B11D6"/>
    <w:rsid w:val="302B2498"/>
    <w:rsid w:val="33303FBF"/>
    <w:rsid w:val="349A7551"/>
    <w:rsid w:val="3766B6B9"/>
    <w:rsid w:val="38045A8D"/>
    <w:rsid w:val="388F1A13"/>
    <w:rsid w:val="39DEC9BA"/>
    <w:rsid w:val="44834CD5"/>
    <w:rsid w:val="48674CB5"/>
    <w:rsid w:val="4DF102EF"/>
    <w:rsid w:val="4E6C3A90"/>
    <w:rsid w:val="4EE28E65"/>
    <w:rsid w:val="4F0D0740"/>
    <w:rsid w:val="4FFF18F2"/>
    <w:rsid w:val="518A231F"/>
    <w:rsid w:val="522537E3"/>
    <w:rsid w:val="5311FD45"/>
    <w:rsid w:val="57F0382F"/>
    <w:rsid w:val="5D13A924"/>
    <w:rsid w:val="5FCCC633"/>
    <w:rsid w:val="65CB04AA"/>
    <w:rsid w:val="6856CFA4"/>
    <w:rsid w:val="6913162F"/>
    <w:rsid w:val="69FFB6DD"/>
    <w:rsid w:val="6A5FF923"/>
    <w:rsid w:val="6D6CC4AA"/>
    <w:rsid w:val="7123E2EE"/>
    <w:rsid w:val="7184A30A"/>
    <w:rsid w:val="74D9027D"/>
    <w:rsid w:val="76391D04"/>
    <w:rsid w:val="776D3C96"/>
    <w:rsid w:val="784C58B8"/>
    <w:rsid w:val="7D1D87F3"/>
    <w:rsid w:val="7D28FF44"/>
    <w:rsid w:val="7D9CF294"/>
    <w:rsid w:val="7F23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54B1"/>
  <w15:chartTrackingRefBased/>
  <w15:docId w15:val="{A85302D9-2382-473B-953A-65BFEB2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5B1"/>
  </w:style>
  <w:style w:type="paragraph" w:styleId="Piedepgina">
    <w:name w:val="footer"/>
    <w:basedOn w:val="Normal"/>
    <w:link w:val="PiedepginaCar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5B1"/>
  </w:style>
  <w:style w:type="paragraph" w:customStyle="1" w:styleId="paragraph">
    <w:name w:val="paragraph"/>
    <w:basedOn w:val="Normal"/>
    <w:rsid w:val="0004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Fuentedeprrafopredeter"/>
    <w:rsid w:val="000455B1"/>
  </w:style>
  <w:style w:type="character" w:customStyle="1" w:styleId="tabchar">
    <w:name w:val="tabchar"/>
    <w:basedOn w:val="Fuentedeprrafopredeter"/>
    <w:rsid w:val="000455B1"/>
  </w:style>
  <w:style w:type="character" w:customStyle="1" w:styleId="normaltextrun">
    <w:name w:val="normaltextrun"/>
    <w:basedOn w:val="Fuentedeprrafopredeter"/>
    <w:rsid w:val="000455B1"/>
  </w:style>
  <w:style w:type="character" w:customStyle="1" w:styleId="eop">
    <w:name w:val="eop"/>
    <w:basedOn w:val="Fuentedeprrafopredeter"/>
    <w:rsid w:val="000455B1"/>
  </w:style>
  <w:style w:type="paragraph" w:styleId="Prrafodelista">
    <w:name w:val="List Paragraph"/>
    <w:basedOn w:val="Normal"/>
    <w:uiPriority w:val="34"/>
    <w:qFormat/>
    <w:rsid w:val="000455B1"/>
    <w:pPr>
      <w:ind w:left="720"/>
      <w:contextualSpacing/>
    </w:pPr>
  </w:style>
  <w:style w:type="paragraph" w:styleId="Revisin">
    <w:name w:val="Revision"/>
    <w:hidden/>
    <w:uiPriority w:val="99"/>
    <w:semiHidden/>
    <w:rsid w:val="00251A1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921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218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0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01E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0A7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kern w:val="0"/>
      <w:sz w:val="24"/>
      <w:szCs w:val="24"/>
      <w14:ligatures w14:val="none"/>
    </w:rPr>
  </w:style>
  <w:style w:type="paragraph" w:customStyle="1" w:styleId="ox-e23b717313-msonormal">
    <w:name w:val="ox-e23b717313-msonormal"/>
    <w:basedOn w:val="Normal"/>
    <w:rsid w:val="000A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ollovredestein.pres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42B50-A6A5-4DA7-AC17-3E42BA74F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FD0A1-7DF2-452D-9A19-4D0792903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C7AB9-6DC9-4F3D-A097-2501B7ADD9E2}">
  <ds:schemaRefs>
    <ds:schemaRef ds:uri="http://purl.org/dc/dcmitype/"/>
    <ds:schemaRef ds:uri="http://schemas.openxmlformats.org/package/2006/metadata/core-properties"/>
    <ds:schemaRef ds:uri="9959745b-4369-42e1-90e0-a84ca449936d"/>
    <ds:schemaRef ds:uri="http://schemas.microsoft.com/office/2006/documentManagement/types"/>
    <ds:schemaRef ds:uri="69acca3f-d86f-4bef-86a7-262f0d20096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eeb064f5-b91f-4532-bc93-5a06de940d8c"/>
    <ds:schemaRef ds:uri="c8da104e-6a1d-4b01-a720-a1e29024104e"/>
  </ds:schemaRefs>
</ds:datastoreItem>
</file>

<file path=customXml/itemProps4.xml><?xml version="1.0" encoding="utf-8"?>
<ds:datastoreItem xmlns:ds="http://schemas.openxmlformats.org/officeDocument/2006/customXml" ds:itemID="{7A54299E-AF65-4086-98DB-FAA48651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3732</Characters>
  <Application>Microsoft Office Word</Application>
  <DocSecurity>0</DocSecurity>
  <Lines>82</Lines>
  <Paragraphs>26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Hillan</dc:creator>
  <cp:keywords/>
  <dc:description/>
  <cp:lastModifiedBy>Fernando Saiz</cp:lastModifiedBy>
  <cp:revision>2</cp:revision>
  <dcterms:created xsi:type="dcterms:W3CDTF">2025-12-08T17:41:00Z</dcterms:created>
  <dcterms:modified xsi:type="dcterms:W3CDTF">2025-12-08T17:41:00Z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bae8b578-8a44-4ee7-87c3-1636fc9356b2</vt:lpwstr>
  </property>
</Properties>
</file>